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AECD" w14:textId="77777777" w:rsidR="00806BD6" w:rsidRDefault="00146C99">
      <w:pPr>
        <w:spacing w:line="240" w:lineRule="auto"/>
        <w:rPr>
          <w:rFonts w:ascii="Garamond" w:eastAsia="Garamond" w:hAnsi="Garamond" w:cs="Garamond"/>
          <w:color w:val="000080"/>
          <w:sz w:val="20"/>
          <w:szCs w:val="20"/>
        </w:rPr>
      </w:pPr>
      <w:r>
        <w:rPr>
          <w:rFonts w:ascii="Garamond" w:eastAsia="Garamond" w:hAnsi="Garamond" w:cs="Garamond"/>
          <w:noProof/>
          <w:color w:val="000080"/>
          <w:sz w:val="20"/>
          <w:szCs w:val="20"/>
        </w:rPr>
        <w:drawing>
          <wp:inline distT="0" distB="0" distL="114300" distR="114300" wp14:anchorId="3F60D3B0" wp14:editId="00A5EA5F">
            <wp:extent cx="1819910" cy="4756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19910" cy="475615"/>
                    </a:xfrm>
                    <a:prstGeom prst="rect">
                      <a:avLst/>
                    </a:prstGeom>
                    <a:ln/>
                  </pic:spPr>
                </pic:pic>
              </a:graphicData>
            </a:graphic>
          </wp:inline>
        </w:drawing>
      </w:r>
    </w:p>
    <w:p w14:paraId="2874CD1C" w14:textId="77777777" w:rsidR="00806BD6" w:rsidRDefault="00806BD6">
      <w:pPr>
        <w:spacing w:line="240" w:lineRule="auto"/>
        <w:rPr>
          <w:rFonts w:ascii="Garamond" w:eastAsia="Garamond" w:hAnsi="Garamond" w:cs="Garamond"/>
          <w:color w:val="000080"/>
          <w:sz w:val="20"/>
          <w:szCs w:val="20"/>
        </w:rPr>
      </w:pPr>
    </w:p>
    <w:p w14:paraId="23ED6E76" w14:textId="77777777" w:rsidR="00806BD6" w:rsidRDefault="00146C99">
      <w:pPr>
        <w:pStyle w:val="Title"/>
        <w:keepNext w:val="0"/>
        <w:keepLines w:val="0"/>
        <w:widowControl w:val="0"/>
        <w:spacing w:before="80" w:after="0" w:line="240" w:lineRule="auto"/>
        <w:rPr>
          <w:sz w:val="28"/>
          <w:szCs w:val="28"/>
        </w:rPr>
      </w:pPr>
      <w:bookmarkStart w:id="0" w:name="_fp5r20lo09wp" w:colFirst="0" w:colLast="0"/>
      <w:bookmarkEnd w:id="0"/>
      <w:r>
        <w:rPr>
          <w:sz w:val="28"/>
          <w:szCs w:val="28"/>
        </w:rPr>
        <w:t>HOT FIRE TESTING EMERGENCY RESPONSE PROCEDURES</w:t>
      </w:r>
    </w:p>
    <w:p w14:paraId="66B35CB0" w14:textId="77777777" w:rsidR="00806BD6" w:rsidRDefault="00806BD6"/>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1"/>
        <w:gridCol w:w="2026"/>
        <w:gridCol w:w="1140"/>
        <w:gridCol w:w="7843"/>
      </w:tblGrid>
      <w:tr w:rsidR="00806BD6" w14:paraId="7E79DF9F" w14:textId="77777777" w:rsidTr="00146C99">
        <w:trPr>
          <w:trHeight w:val="420"/>
        </w:trPr>
        <w:tc>
          <w:tcPr>
            <w:tcW w:w="12960" w:type="dxa"/>
            <w:gridSpan w:val="4"/>
            <w:tcBorders>
              <w:top w:val="single" w:sz="6" w:space="0" w:color="808080"/>
              <w:left w:val="single" w:sz="6" w:space="0" w:color="808080"/>
              <w:bottom w:val="single" w:sz="6" w:space="0" w:color="808080"/>
              <w:right w:val="single" w:sz="6" w:space="0" w:color="808080"/>
            </w:tcBorders>
            <w:shd w:val="clear" w:color="auto" w:fill="333399"/>
          </w:tcPr>
          <w:p w14:paraId="09F7B225" w14:textId="77777777" w:rsidR="00806BD6" w:rsidRDefault="00146C99">
            <w:pPr>
              <w:tabs>
                <w:tab w:val="left" w:pos="1701"/>
              </w:tabs>
              <w:spacing w:before="80" w:after="80" w:line="240" w:lineRule="auto"/>
              <w:rPr>
                <w:color w:val="FFFFFF"/>
                <w:sz w:val="20"/>
                <w:szCs w:val="20"/>
              </w:rPr>
            </w:pPr>
            <w:r>
              <w:rPr>
                <w:b/>
                <w:color w:val="FFFFFF"/>
                <w:sz w:val="20"/>
                <w:szCs w:val="20"/>
              </w:rPr>
              <w:t>1. PERSON CARRYING OUT ASSESSMENT</w:t>
            </w:r>
          </w:p>
        </w:tc>
      </w:tr>
      <w:tr w:rsidR="00806BD6" w14:paraId="6B0F62A5" w14:textId="77777777" w:rsidTr="00146C99">
        <w:trPr>
          <w:trHeight w:val="420"/>
        </w:trPr>
        <w:tc>
          <w:tcPr>
            <w:tcW w:w="1951" w:type="dxa"/>
            <w:shd w:val="clear" w:color="auto" w:fill="auto"/>
            <w:tcMar>
              <w:top w:w="100" w:type="dxa"/>
              <w:left w:w="100" w:type="dxa"/>
              <w:bottom w:w="100" w:type="dxa"/>
              <w:right w:w="100" w:type="dxa"/>
            </w:tcMar>
          </w:tcPr>
          <w:p w14:paraId="2484E115" w14:textId="77777777" w:rsidR="00806BD6" w:rsidRDefault="00146C99">
            <w:pPr>
              <w:widowControl w:val="0"/>
              <w:spacing w:line="240" w:lineRule="auto"/>
            </w:pPr>
            <w:r>
              <w:rPr>
                <w:b/>
                <w:color w:val="000080"/>
                <w:sz w:val="20"/>
                <w:szCs w:val="20"/>
              </w:rPr>
              <w:t>Person Responsible:</w:t>
            </w:r>
          </w:p>
        </w:tc>
        <w:tc>
          <w:tcPr>
            <w:tcW w:w="2026" w:type="dxa"/>
            <w:shd w:val="clear" w:color="auto" w:fill="auto"/>
            <w:tcMar>
              <w:top w:w="100" w:type="dxa"/>
              <w:left w:w="100" w:type="dxa"/>
              <w:bottom w:w="100" w:type="dxa"/>
              <w:right w:w="100" w:type="dxa"/>
            </w:tcMar>
          </w:tcPr>
          <w:p w14:paraId="18BBA219" w14:textId="0D02512A" w:rsidR="00806BD6" w:rsidRDefault="00806BD6">
            <w:pPr>
              <w:widowControl w:val="0"/>
              <w:spacing w:line="240" w:lineRule="auto"/>
            </w:pPr>
          </w:p>
        </w:tc>
        <w:tc>
          <w:tcPr>
            <w:tcW w:w="1140" w:type="dxa"/>
            <w:shd w:val="clear" w:color="auto" w:fill="auto"/>
            <w:tcMar>
              <w:top w:w="100" w:type="dxa"/>
              <w:left w:w="100" w:type="dxa"/>
              <w:bottom w:w="100" w:type="dxa"/>
              <w:right w:w="100" w:type="dxa"/>
            </w:tcMar>
          </w:tcPr>
          <w:p w14:paraId="714646C9" w14:textId="77777777" w:rsidR="00806BD6" w:rsidRDefault="00146C99">
            <w:pPr>
              <w:widowControl w:val="0"/>
              <w:spacing w:line="240" w:lineRule="auto"/>
            </w:pPr>
            <w:r>
              <w:rPr>
                <w:b/>
                <w:color w:val="000080"/>
                <w:sz w:val="20"/>
                <w:szCs w:val="20"/>
              </w:rPr>
              <w:t>Position:</w:t>
            </w:r>
          </w:p>
        </w:tc>
        <w:tc>
          <w:tcPr>
            <w:tcW w:w="7843" w:type="dxa"/>
            <w:shd w:val="clear" w:color="auto" w:fill="auto"/>
            <w:tcMar>
              <w:top w:w="100" w:type="dxa"/>
              <w:left w:w="100" w:type="dxa"/>
              <w:bottom w:w="100" w:type="dxa"/>
              <w:right w:w="100" w:type="dxa"/>
            </w:tcMar>
          </w:tcPr>
          <w:p w14:paraId="30168595" w14:textId="56B3E62C" w:rsidR="00806BD6" w:rsidRDefault="00806BD6">
            <w:pPr>
              <w:widowControl w:val="0"/>
              <w:spacing w:line="240" w:lineRule="auto"/>
            </w:pPr>
          </w:p>
        </w:tc>
      </w:tr>
      <w:tr w:rsidR="00806BD6" w14:paraId="3983D60A" w14:textId="77777777" w:rsidTr="00146C99">
        <w:trPr>
          <w:trHeight w:val="420"/>
        </w:trPr>
        <w:tc>
          <w:tcPr>
            <w:tcW w:w="1951" w:type="dxa"/>
            <w:shd w:val="clear" w:color="auto" w:fill="auto"/>
            <w:tcMar>
              <w:top w:w="100" w:type="dxa"/>
              <w:left w:w="100" w:type="dxa"/>
              <w:bottom w:w="100" w:type="dxa"/>
              <w:right w:w="100" w:type="dxa"/>
            </w:tcMar>
          </w:tcPr>
          <w:p w14:paraId="484832A7" w14:textId="77777777" w:rsidR="00806BD6" w:rsidRDefault="00146C99">
            <w:pPr>
              <w:widowControl w:val="0"/>
              <w:spacing w:line="240" w:lineRule="auto"/>
              <w:rPr>
                <w:b/>
                <w:color w:val="000080"/>
                <w:sz w:val="20"/>
                <w:szCs w:val="20"/>
              </w:rPr>
            </w:pPr>
            <w:r>
              <w:rPr>
                <w:b/>
                <w:color w:val="000080"/>
                <w:sz w:val="20"/>
                <w:szCs w:val="20"/>
              </w:rPr>
              <w:t>Date:</w:t>
            </w:r>
          </w:p>
        </w:tc>
        <w:tc>
          <w:tcPr>
            <w:tcW w:w="2026" w:type="dxa"/>
            <w:shd w:val="clear" w:color="auto" w:fill="auto"/>
            <w:tcMar>
              <w:top w:w="100" w:type="dxa"/>
              <w:left w:w="100" w:type="dxa"/>
              <w:bottom w:w="100" w:type="dxa"/>
              <w:right w:w="100" w:type="dxa"/>
            </w:tcMar>
          </w:tcPr>
          <w:p w14:paraId="14CBFAED" w14:textId="1E845B6B" w:rsidR="00806BD6" w:rsidRDefault="00806BD6">
            <w:pPr>
              <w:widowControl w:val="0"/>
              <w:spacing w:line="240" w:lineRule="auto"/>
            </w:pPr>
          </w:p>
        </w:tc>
        <w:tc>
          <w:tcPr>
            <w:tcW w:w="1140" w:type="dxa"/>
            <w:shd w:val="clear" w:color="auto" w:fill="auto"/>
            <w:tcMar>
              <w:top w:w="100" w:type="dxa"/>
              <w:left w:w="100" w:type="dxa"/>
              <w:bottom w:w="100" w:type="dxa"/>
              <w:right w:w="100" w:type="dxa"/>
            </w:tcMar>
          </w:tcPr>
          <w:p w14:paraId="706609CC" w14:textId="77777777" w:rsidR="00806BD6" w:rsidRDefault="00146C99">
            <w:pPr>
              <w:widowControl w:val="0"/>
              <w:spacing w:line="240" w:lineRule="auto"/>
            </w:pPr>
            <w:r>
              <w:rPr>
                <w:b/>
                <w:color w:val="000080"/>
                <w:sz w:val="20"/>
                <w:szCs w:val="20"/>
              </w:rPr>
              <w:t>Review Date:</w:t>
            </w:r>
          </w:p>
        </w:tc>
        <w:tc>
          <w:tcPr>
            <w:tcW w:w="7843" w:type="dxa"/>
            <w:shd w:val="clear" w:color="auto" w:fill="auto"/>
            <w:tcMar>
              <w:top w:w="100" w:type="dxa"/>
              <w:left w:w="100" w:type="dxa"/>
              <w:bottom w:w="100" w:type="dxa"/>
              <w:right w:w="100" w:type="dxa"/>
            </w:tcMar>
          </w:tcPr>
          <w:p w14:paraId="1592BDB0" w14:textId="77777777" w:rsidR="00806BD6" w:rsidRDefault="00806BD6">
            <w:pPr>
              <w:widowControl w:val="0"/>
              <w:spacing w:line="240" w:lineRule="auto"/>
            </w:pPr>
          </w:p>
        </w:tc>
      </w:tr>
      <w:tr w:rsidR="00806BD6" w14:paraId="378534B5" w14:textId="77777777" w:rsidTr="00146C99">
        <w:trPr>
          <w:trHeight w:val="420"/>
        </w:trPr>
        <w:tc>
          <w:tcPr>
            <w:tcW w:w="12960" w:type="dxa"/>
            <w:gridSpan w:val="4"/>
            <w:tcBorders>
              <w:top w:val="single" w:sz="6" w:space="0" w:color="808080"/>
              <w:left w:val="single" w:sz="6" w:space="0" w:color="808080"/>
              <w:bottom w:val="single" w:sz="6" w:space="0" w:color="808080"/>
              <w:right w:val="single" w:sz="6" w:space="0" w:color="808080"/>
            </w:tcBorders>
            <w:shd w:val="clear" w:color="auto" w:fill="333399"/>
          </w:tcPr>
          <w:p w14:paraId="11B713F4" w14:textId="77777777" w:rsidR="00806BD6" w:rsidRDefault="00146C99">
            <w:pPr>
              <w:tabs>
                <w:tab w:val="left" w:pos="1701"/>
              </w:tabs>
              <w:spacing w:before="80" w:after="80" w:line="240" w:lineRule="auto"/>
              <w:rPr>
                <w:color w:val="FFFFFF"/>
                <w:sz w:val="20"/>
                <w:szCs w:val="20"/>
              </w:rPr>
            </w:pPr>
            <w:r>
              <w:rPr>
                <w:b/>
                <w:color w:val="FFFFFF"/>
                <w:sz w:val="20"/>
                <w:szCs w:val="20"/>
              </w:rPr>
              <w:t>2. DOCUMENT OUTLINE</w:t>
            </w:r>
          </w:p>
        </w:tc>
      </w:tr>
      <w:tr w:rsidR="00806BD6" w14:paraId="1B91436D" w14:textId="77777777" w:rsidTr="00146C99">
        <w:trPr>
          <w:trHeight w:val="420"/>
        </w:trPr>
        <w:tc>
          <w:tcPr>
            <w:tcW w:w="12960" w:type="dxa"/>
            <w:gridSpan w:val="4"/>
            <w:shd w:val="clear" w:color="auto" w:fill="auto"/>
            <w:tcMar>
              <w:top w:w="100" w:type="dxa"/>
              <w:left w:w="100" w:type="dxa"/>
              <w:bottom w:w="100" w:type="dxa"/>
              <w:right w:w="100" w:type="dxa"/>
            </w:tcMar>
          </w:tcPr>
          <w:p w14:paraId="0D589D25" w14:textId="77777777" w:rsidR="00806BD6" w:rsidRDefault="00806BD6">
            <w:pPr>
              <w:widowControl w:val="0"/>
              <w:spacing w:line="240" w:lineRule="auto"/>
              <w:rPr>
                <w:b/>
                <w:color w:val="000080"/>
                <w:sz w:val="20"/>
                <w:szCs w:val="20"/>
              </w:rPr>
            </w:pPr>
          </w:p>
        </w:tc>
      </w:tr>
      <w:tr w:rsidR="00806BD6" w14:paraId="23D2B1F3" w14:textId="77777777" w:rsidTr="00146C99">
        <w:trPr>
          <w:trHeight w:val="420"/>
        </w:trPr>
        <w:tc>
          <w:tcPr>
            <w:tcW w:w="12960" w:type="dxa"/>
            <w:gridSpan w:val="4"/>
            <w:tcBorders>
              <w:top w:val="single" w:sz="6" w:space="0" w:color="808080"/>
              <w:left w:val="single" w:sz="6" w:space="0" w:color="808080"/>
              <w:bottom w:val="single" w:sz="6" w:space="0" w:color="808080"/>
              <w:right w:val="single" w:sz="6" w:space="0" w:color="808080"/>
            </w:tcBorders>
            <w:shd w:val="clear" w:color="auto" w:fill="333399"/>
          </w:tcPr>
          <w:p w14:paraId="2ED45BCE" w14:textId="77777777" w:rsidR="00806BD6" w:rsidRDefault="00146C99">
            <w:pPr>
              <w:tabs>
                <w:tab w:val="left" w:pos="1701"/>
              </w:tabs>
              <w:spacing w:before="80" w:after="80" w:line="240" w:lineRule="auto"/>
              <w:rPr>
                <w:color w:val="FFFFFF"/>
                <w:sz w:val="20"/>
                <w:szCs w:val="20"/>
              </w:rPr>
            </w:pPr>
            <w:r>
              <w:rPr>
                <w:b/>
                <w:color w:val="FFFFFF"/>
                <w:sz w:val="20"/>
                <w:szCs w:val="20"/>
              </w:rPr>
              <w:t>3. INCIDENT CLASSIFICATION</w:t>
            </w:r>
          </w:p>
        </w:tc>
      </w:tr>
      <w:tr w:rsidR="00806BD6" w14:paraId="4C6870B2" w14:textId="77777777" w:rsidTr="00146C99">
        <w:trPr>
          <w:trHeight w:val="420"/>
        </w:trPr>
        <w:tc>
          <w:tcPr>
            <w:tcW w:w="12960" w:type="dxa"/>
            <w:gridSpan w:val="4"/>
            <w:vMerge w:val="restart"/>
            <w:shd w:val="clear" w:color="auto" w:fill="auto"/>
            <w:tcMar>
              <w:top w:w="100" w:type="dxa"/>
              <w:left w:w="100" w:type="dxa"/>
              <w:bottom w:w="100" w:type="dxa"/>
              <w:right w:w="100" w:type="dxa"/>
            </w:tcMar>
          </w:tcPr>
          <w:p w14:paraId="65016F06" w14:textId="77777777" w:rsidR="00806BD6" w:rsidRDefault="00146C99">
            <w:pPr>
              <w:widowControl w:val="0"/>
              <w:spacing w:before="90" w:line="240" w:lineRule="auto"/>
              <w:ind w:left="100" w:right="256"/>
              <w:rPr>
                <w:sz w:val="24"/>
                <w:szCs w:val="24"/>
              </w:rPr>
            </w:pPr>
            <w:r>
              <w:rPr>
                <w:sz w:val="24"/>
                <w:szCs w:val="24"/>
              </w:rPr>
              <w:t>“Incidents”, in the context of this document, are defined as any event not within the standard operating procedure listed in the accompanying risk assessment, under Section 7. In the event of any incident, the severity must be assessed. For all purposes an</w:t>
            </w:r>
            <w:r>
              <w:rPr>
                <w:sz w:val="24"/>
                <w:szCs w:val="24"/>
              </w:rPr>
              <w:t>d intents, incidents will be classified and logged in one of the two following categories:</w:t>
            </w:r>
          </w:p>
          <w:p w14:paraId="030D186B" w14:textId="77777777" w:rsidR="00806BD6" w:rsidRDefault="00806BD6">
            <w:pPr>
              <w:widowControl w:val="0"/>
              <w:spacing w:before="90" w:line="240" w:lineRule="auto"/>
              <w:ind w:left="100" w:right="256"/>
              <w:rPr>
                <w:sz w:val="24"/>
                <w:szCs w:val="24"/>
              </w:rPr>
            </w:pPr>
          </w:p>
          <w:p w14:paraId="286E6F2E" w14:textId="77777777" w:rsidR="00806BD6" w:rsidRDefault="00146C99">
            <w:pPr>
              <w:pStyle w:val="Heading1"/>
              <w:keepNext w:val="0"/>
              <w:keepLines w:val="0"/>
              <w:widowControl w:val="0"/>
              <w:numPr>
                <w:ilvl w:val="0"/>
                <w:numId w:val="11"/>
              </w:numPr>
              <w:tabs>
                <w:tab w:val="left" w:pos="821"/>
              </w:tabs>
              <w:spacing w:before="0" w:after="0" w:line="240" w:lineRule="auto"/>
              <w:ind w:hanging="361"/>
              <w:rPr>
                <w:b/>
              </w:rPr>
            </w:pPr>
            <w:r>
              <w:rPr>
                <w:b/>
                <w:sz w:val="24"/>
                <w:szCs w:val="24"/>
              </w:rPr>
              <w:t>Minor Incident</w:t>
            </w:r>
          </w:p>
          <w:p w14:paraId="2FABF4EE" w14:textId="1D1D44BE" w:rsidR="00806BD6" w:rsidRDefault="00146C99">
            <w:pPr>
              <w:widowControl w:val="0"/>
              <w:numPr>
                <w:ilvl w:val="1"/>
                <w:numId w:val="11"/>
              </w:numPr>
              <w:tabs>
                <w:tab w:val="left" w:pos="1540"/>
                <w:tab w:val="left" w:pos="1541"/>
              </w:tabs>
              <w:spacing w:before="9" w:line="232" w:lineRule="auto"/>
              <w:ind w:right="386"/>
              <w:rPr>
                <w:sz w:val="24"/>
                <w:szCs w:val="24"/>
              </w:rPr>
            </w:pPr>
            <w:bookmarkStart w:id="1" w:name="_icgj7sqy5v1f" w:colFirst="0" w:colLast="0"/>
            <w:bookmarkEnd w:id="1"/>
            <w:r>
              <w:rPr>
                <w:sz w:val="24"/>
                <w:szCs w:val="24"/>
              </w:rPr>
              <w:t>Placeholder</w:t>
            </w:r>
          </w:p>
          <w:p w14:paraId="72E0284C" w14:textId="77777777" w:rsidR="00806BD6" w:rsidRDefault="00146C99">
            <w:pPr>
              <w:pStyle w:val="Heading1"/>
              <w:keepNext w:val="0"/>
              <w:keepLines w:val="0"/>
              <w:widowControl w:val="0"/>
              <w:numPr>
                <w:ilvl w:val="0"/>
                <w:numId w:val="11"/>
              </w:numPr>
              <w:tabs>
                <w:tab w:val="left" w:pos="821"/>
              </w:tabs>
              <w:spacing w:before="2" w:after="0" w:line="240" w:lineRule="auto"/>
              <w:ind w:hanging="361"/>
              <w:rPr>
                <w:b/>
              </w:rPr>
            </w:pPr>
            <w:r>
              <w:rPr>
                <w:b/>
                <w:sz w:val="24"/>
                <w:szCs w:val="24"/>
              </w:rPr>
              <w:t>Major Incident</w:t>
            </w:r>
          </w:p>
          <w:p w14:paraId="5E390457" w14:textId="5138DEA7" w:rsidR="00806BD6" w:rsidRDefault="00146C99">
            <w:pPr>
              <w:widowControl w:val="0"/>
              <w:numPr>
                <w:ilvl w:val="1"/>
                <w:numId w:val="11"/>
              </w:numPr>
              <w:tabs>
                <w:tab w:val="left" w:pos="1540"/>
                <w:tab w:val="left" w:pos="1541"/>
              </w:tabs>
              <w:spacing w:before="3" w:line="240" w:lineRule="auto"/>
              <w:rPr>
                <w:sz w:val="24"/>
                <w:szCs w:val="24"/>
              </w:rPr>
            </w:pPr>
            <w:r>
              <w:rPr>
                <w:sz w:val="24"/>
                <w:szCs w:val="24"/>
              </w:rPr>
              <w:t>Placeholder</w:t>
            </w:r>
            <w:r>
              <w:rPr>
                <w:sz w:val="24"/>
                <w:szCs w:val="24"/>
              </w:rPr>
              <w:br/>
            </w:r>
            <w:r>
              <w:rPr>
                <w:sz w:val="24"/>
                <w:szCs w:val="24"/>
              </w:rPr>
              <w:br/>
            </w:r>
          </w:p>
        </w:tc>
      </w:tr>
      <w:tr w:rsidR="00806BD6" w14:paraId="7F0FC488" w14:textId="77777777" w:rsidTr="00146C99">
        <w:trPr>
          <w:trHeight w:val="420"/>
        </w:trPr>
        <w:tc>
          <w:tcPr>
            <w:tcW w:w="12960" w:type="dxa"/>
            <w:gridSpan w:val="4"/>
            <w:vMerge/>
            <w:shd w:val="clear" w:color="auto" w:fill="auto"/>
            <w:tcMar>
              <w:top w:w="100" w:type="dxa"/>
              <w:left w:w="100" w:type="dxa"/>
              <w:bottom w:w="100" w:type="dxa"/>
              <w:right w:w="100" w:type="dxa"/>
            </w:tcMar>
          </w:tcPr>
          <w:p w14:paraId="5DB83680" w14:textId="77777777" w:rsidR="00806BD6" w:rsidRDefault="00806BD6">
            <w:pPr>
              <w:widowControl w:val="0"/>
              <w:spacing w:line="240" w:lineRule="auto"/>
            </w:pPr>
          </w:p>
        </w:tc>
      </w:tr>
      <w:tr w:rsidR="00806BD6" w14:paraId="0DAE1433" w14:textId="77777777" w:rsidTr="00146C99">
        <w:trPr>
          <w:trHeight w:val="420"/>
        </w:trPr>
        <w:tc>
          <w:tcPr>
            <w:tcW w:w="12960" w:type="dxa"/>
            <w:gridSpan w:val="4"/>
            <w:tcBorders>
              <w:top w:val="single" w:sz="6" w:space="0" w:color="808080"/>
              <w:left w:val="single" w:sz="6" w:space="0" w:color="808080"/>
              <w:bottom w:val="single" w:sz="6" w:space="0" w:color="808080"/>
              <w:right w:val="single" w:sz="6" w:space="0" w:color="808080"/>
            </w:tcBorders>
            <w:shd w:val="clear" w:color="auto" w:fill="333399"/>
          </w:tcPr>
          <w:p w14:paraId="1AF39529" w14:textId="77777777" w:rsidR="00806BD6" w:rsidRDefault="00146C99">
            <w:pPr>
              <w:tabs>
                <w:tab w:val="left" w:pos="1701"/>
              </w:tabs>
              <w:spacing w:before="80" w:after="80" w:line="240" w:lineRule="auto"/>
              <w:rPr>
                <w:color w:val="FFFFFF"/>
                <w:sz w:val="20"/>
                <w:szCs w:val="20"/>
              </w:rPr>
            </w:pPr>
            <w:r>
              <w:rPr>
                <w:b/>
                <w:color w:val="FFFFFF"/>
                <w:sz w:val="20"/>
                <w:szCs w:val="20"/>
              </w:rPr>
              <w:lastRenderedPageBreak/>
              <w:t>4. PERSONS RESPONSIBLE</w:t>
            </w:r>
          </w:p>
        </w:tc>
      </w:tr>
      <w:tr w:rsidR="00806BD6" w14:paraId="0795C5AC" w14:textId="77777777" w:rsidTr="00146C99">
        <w:trPr>
          <w:trHeight w:val="420"/>
        </w:trPr>
        <w:tc>
          <w:tcPr>
            <w:tcW w:w="12960" w:type="dxa"/>
            <w:gridSpan w:val="4"/>
            <w:vMerge w:val="restart"/>
            <w:shd w:val="clear" w:color="auto" w:fill="auto"/>
            <w:tcMar>
              <w:top w:w="100" w:type="dxa"/>
              <w:left w:w="100" w:type="dxa"/>
              <w:bottom w:w="100" w:type="dxa"/>
              <w:right w:w="100" w:type="dxa"/>
            </w:tcMar>
          </w:tcPr>
          <w:p w14:paraId="6A4994E2" w14:textId="77777777" w:rsidR="00806BD6" w:rsidRDefault="00146C99">
            <w:pPr>
              <w:widowControl w:val="0"/>
              <w:spacing w:before="90" w:line="240" w:lineRule="auto"/>
              <w:ind w:left="100" w:right="191"/>
              <w:rPr>
                <w:sz w:val="24"/>
                <w:szCs w:val="24"/>
              </w:rPr>
            </w:pPr>
            <w:r>
              <w:rPr>
                <w:sz w:val="24"/>
                <w:szCs w:val="24"/>
              </w:rPr>
              <w:t xml:space="preserve">This section details the necessary, </w:t>
            </w:r>
            <w:proofErr w:type="spellStart"/>
            <w:r>
              <w:rPr>
                <w:sz w:val="24"/>
                <w:szCs w:val="24"/>
              </w:rPr>
              <w:t>standardised</w:t>
            </w:r>
            <w:proofErr w:type="spellEnd"/>
            <w:r>
              <w:rPr>
                <w:sz w:val="24"/>
                <w:szCs w:val="24"/>
              </w:rPr>
              <w:t xml:space="preserve"> steps required to be taken in the event of each incident occurring. Note that the procedures involve the following responsible persons:</w:t>
            </w:r>
          </w:p>
          <w:p w14:paraId="27212676" w14:textId="057618AC" w:rsidR="00806BD6" w:rsidRDefault="00146C99">
            <w:pPr>
              <w:widowControl w:val="0"/>
              <w:numPr>
                <w:ilvl w:val="0"/>
                <w:numId w:val="15"/>
              </w:numPr>
              <w:spacing w:line="240" w:lineRule="auto"/>
              <w:ind w:right="191"/>
              <w:rPr>
                <w:sz w:val="24"/>
                <w:szCs w:val="24"/>
              </w:rPr>
            </w:pPr>
            <w:r>
              <w:rPr>
                <w:sz w:val="24"/>
                <w:szCs w:val="24"/>
              </w:rPr>
              <w:t>Placeholder</w:t>
            </w:r>
          </w:p>
          <w:p w14:paraId="3DCD49D2" w14:textId="77777777" w:rsidR="00806BD6" w:rsidRDefault="00146C99">
            <w:pPr>
              <w:widowControl w:val="0"/>
              <w:spacing w:before="90" w:line="240" w:lineRule="auto"/>
              <w:ind w:right="191"/>
              <w:rPr>
                <w:sz w:val="24"/>
                <w:szCs w:val="24"/>
              </w:rPr>
            </w:pPr>
            <w:r>
              <w:rPr>
                <w:sz w:val="24"/>
                <w:szCs w:val="24"/>
              </w:rPr>
              <w:t>Due to restrictions on social gathering, only those required to conduct the activities will be able to attend.</w:t>
            </w:r>
          </w:p>
        </w:tc>
      </w:tr>
      <w:tr w:rsidR="00806BD6" w14:paraId="32D67243" w14:textId="77777777" w:rsidTr="00146C99">
        <w:trPr>
          <w:trHeight w:val="420"/>
        </w:trPr>
        <w:tc>
          <w:tcPr>
            <w:tcW w:w="12960" w:type="dxa"/>
            <w:gridSpan w:val="4"/>
            <w:vMerge/>
            <w:shd w:val="clear" w:color="auto" w:fill="auto"/>
            <w:tcMar>
              <w:top w:w="100" w:type="dxa"/>
              <w:left w:w="100" w:type="dxa"/>
              <w:bottom w:w="100" w:type="dxa"/>
              <w:right w:w="100" w:type="dxa"/>
            </w:tcMar>
          </w:tcPr>
          <w:p w14:paraId="17CD1CCC" w14:textId="77777777" w:rsidR="00806BD6" w:rsidRDefault="00806BD6">
            <w:pPr>
              <w:widowControl w:val="0"/>
              <w:spacing w:before="90" w:line="240" w:lineRule="auto"/>
              <w:ind w:left="100" w:right="256"/>
              <w:rPr>
                <w:sz w:val="24"/>
                <w:szCs w:val="24"/>
              </w:rPr>
            </w:pPr>
          </w:p>
        </w:tc>
      </w:tr>
    </w:tbl>
    <w:p w14:paraId="67EA37FF" w14:textId="77777777" w:rsidR="00806BD6" w:rsidRDefault="00806BD6"/>
    <w:tbl>
      <w:tblPr>
        <w:tblStyle w:val="a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05"/>
        <w:gridCol w:w="1845"/>
        <w:gridCol w:w="3060"/>
        <w:gridCol w:w="3315"/>
        <w:gridCol w:w="1110"/>
        <w:gridCol w:w="1635"/>
      </w:tblGrid>
      <w:tr w:rsidR="00806BD6" w14:paraId="216B755B" w14:textId="77777777">
        <w:trPr>
          <w:trHeight w:val="440"/>
        </w:trPr>
        <w:tc>
          <w:tcPr>
            <w:tcW w:w="12945" w:type="dxa"/>
            <w:gridSpan w:val="7"/>
            <w:shd w:val="clear" w:color="auto" w:fill="333399"/>
            <w:tcMar>
              <w:top w:w="100" w:type="dxa"/>
              <w:left w:w="100" w:type="dxa"/>
              <w:bottom w:w="100" w:type="dxa"/>
              <w:right w:w="100" w:type="dxa"/>
            </w:tcMar>
          </w:tcPr>
          <w:p w14:paraId="1F7332AA" w14:textId="77777777" w:rsidR="00806BD6" w:rsidRDefault="00146C99">
            <w:pPr>
              <w:tabs>
                <w:tab w:val="left" w:pos="1701"/>
              </w:tabs>
              <w:spacing w:before="80" w:after="80" w:line="240" w:lineRule="auto"/>
              <w:rPr>
                <w:b/>
              </w:rPr>
            </w:pPr>
            <w:r>
              <w:rPr>
                <w:b/>
                <w:color w:val="FFFFFF"/>
                <w:sz w:val="18"/>
                <w:szCs w:val="18"/>
              </w:rPr>
              <w:t>5. EMERGENCY RESPONSE PROCEDURES</w:t>
            </w:r>
          </w:p>
        </w:tc>
      </w:tr>
      <w:tr w:rsidR="00806BD6" w14:paraId="5DE41BE2" w14:textId="77777777">
        <w:tc>
          <w:tcPr>
            <w:tcW w:w="1275" w:type="dxa"/>
            <w:shd w:val="clear" w:color="auto" w:fill="auto"/>
            <w:tcMar>
              <w:top w:w="100" w:type="dxa"/>
              <w:left w:w="100" w:type="dxa"/>
              <w:bottom w:w="100" w:type="dxa"/>
              <w:right w:w="100" w:type="dxa"/>
            </w:tcMar>
          </w:tcPr>
          <w:p w14:paraId="3281F67B" w14:textId="77777777" w:rsidR="00806BD6" w:rsidRDefault="00146C99">
            <w:pPr>
              <w:widowControl w:val="0"/>
              <w:spacing w:before="212" w:line="240" w:lineRule="auto"/>
              <w:rPr>
                <w:sz w:val="16"/>
                <w:szCs w:val="16"/>
              </w:rPr>
            </w:pPr>
            <w:r>
              <w:rPr>
                <w:b/>
                <w:sz w:val="18"/>
                <w:szCs w:val="18"/>
              </w:rPr>
              <w:t xml:space="preserve"> Emergency</w:t>
            </w:r>
          </w:p>
        </w:tc>
        <w:tc>
          <w:tcPr>
            <w:tcW w:w="705" w:type="dxa"/>
            <w:shd w:val="clear" w:color="auto" w:fill="auto"/>
            <w:tcMar>
              <w:top w:w="100" w:type="dxa"/>
              <w:left w:w="100" w:type="dxa"/>
              <w:bottom w:w="100" w:type="dxa"/>
              <w:right w:w="100" w:type="dxa"/>
            </w:tcMar>
          </w:tcPr>
          <w:p w14:paraId="3ED99F08" w14:textId="77777777" w:rsidR="00806BD6" w:rsidRDefault="00146C99">
            <w:pPr>
              <w:widowControl w:val="0"/>
              <w:spacing w:before="212" w:line="240" w:lineRule="auto"/>
              <w:rPr>
                <w:sz w:val="16"/>
                <w:szCs w:val="16"/>
              </w:rPr>
            </w:pPr>
            <w:r>
              <w:rPr>
                <w:b/>
                <w:sz w:val="18"/>
                <w:szCs w:val="18"/>
              </w:rPr>
              <w:t>Type</w:t>
            </w:r>
          </w:p>
        </w:tc>
        <w:tc>
          <w:tcPr>
            <w:tcW w:w="1845" w:type="dxa"/>
            <w:shd w:val="clear" w:color="auto" w:fill="auto"/>
            <w:tcMar>
              <w:top w:w="100" w:type="dxa"/>
              <w:left w:w="100" w:type="dxa"/>
              <w:bottom w:w="100" w:type="dxa"/>
              <w:right w:w="100" w:type="dxa"/>
            </w:tcMar>
          </w:tcPr>
          <w:p w14:paraId="3DB6C149" w14:textId="77777777" w:rsidR="00806BD6" w:rsidRDefault="00146C99">
            <w:pPr>
              <w:widowControl w:val="0"/>
              <w:spacing w:before="212" w:line="240" w:lineRule="auto"/>
              <w:rPr>
                <w:sz w:val="16"/>
                <w:szCs w:val="16"/>
              </w:rPr>
            </w:pPr>
            <w:r>
              <w:rPr>
                <w:b/>
                <w:sz w:val="18"/>
                <w:szCs w:val="18"/>
              </w:rPr>
              <w:t>Description</w:t>
            </w:r>
          </w:p>
        </w:tc>
        <w:tc>
          <w:tcPr>
            <w:tcW w:w="3060" w:type="dxa"/>
            <w:shd w:val="clear" w:color="auto" w:fill="auto"/>
            <w:tcMar>
              <w:top w:w="100" w:type="dxa"/>
              <w:left w:w="100" w:type="dxa"/>
              <w:bottom w:w="100" w:type="dxa"/>
              <w:right w:w="100" w:type="dxa"/>
            </w:tcMar>
          </w:tcPr>
          <w:p w14:paraId="2721DD05" w14:textId="77777777" w:rsidR="00806BD6" w:rsidRDefault="00146C99">
            <w:pPr>
              <w:widowControl w:val="0"/>
              <w:spacing w:before="212" w:line="240" w:lineRule="auto"/>
              <w:rPr>
                <w:sz w:val="16"/>
                <w:szCs w:val="16"/>
              </w:rPr>
            </w:pPr>
            <w:r>
              <w:rPr>
                <w:b/>
                <w:sz w:val="18"/>
                <w:szCs w:val="18"/>
              </w:rPr>
              <w:t>Preventative Actions</w:t>
            </w:r>
          </w:p>
        </w:tc>
        <w:tc>
          <w:tcPr>
            <w:tcW w:w="3315" w:type="dxa"/>
            <w:shd w:val="clear" w:color="auto" w:fill="auto"/>
            <w:tcMar>
              <w:top w:w="100" w:type="dxa"/>
              <w:left w:w="100" w:type="dxa"/>
              <w:bottom w:w="100" w:type="dxa"/>
              <w:right w:w="100" w:type="dxa"/>
            </w:tcMar>
          </w:tcPr>
          <w:p w14:paraId="5928D7F1" w14:textId="77777777" w:rsidR="00806BD6" w:rsidRDefault="00146C99">
            <w:pPr>
              <w:widowControl w:val="0"/>
              <w:spacing w:before="212" w:line="240" w:lineRule="auto"/>
              <w:rPr>
                <w:sz w:val="16"/>
                <w:szCs w:val="16"/>
              </w:rPr>
            </w:pPr>
            <w:r>
              <w:rPr>
                <w:b/>
                <w:sz w:val="18"/>
                <w:szCs w:val="18"/>
              </w:rPr>
              <w:t>Immediate Actions (On-site)</w:t>
            </w:r>
          </w:p>
        </w:tc>
        <w:tc>
          <w:tcPr>
            <w:tcW w:w="1110" w:type="dxa"/>
            <w:shd w:val="clear" w:color="auto" w:fill="auto"/>
            <w:tcMar>
              <w:top w:w="100" w:type="dxa"/>
              <w:left w:w="100" w:type="dxa"/>
              <w:bottom w:w="100" w:type="dxa"/>
              <w:right w:w="100" w:type="dxa"/>
            </w:tcMar>
          </w:tcPr>
          <w:p w14:paraId="0EF10B33" w14:textId="77777777" w:rsidR="00806BD6" w:rsidRDefault="00146C99">
            <w:pPr>
              <w:widowControl w:val="0"/>
              <w:spacing w:before="73" w:line="240" w:lineRule="auto"/>
              <w:ind w:right="98"/>
              <w:rPr>
                <w:sz w:val="14"/>
                <w:szCs w:val="14"/>
              </w:rPr>
            </w:pPr>
            <w:r>
              <w:rPr>
                <w:b/>
                <w:sz w:val="12"/>
                <w:szCs w:val="12"/>
              </w:rPr>
              <w:t>Persons Responsible</w:t>
            </w:r>
          </w:p>
        </w:tc>
        <w:tc>
          <w:tcPr>
            <w:tcW w:w="1635" w:type="dxa"/>
            <w:shd w:val="clear" w:color="auto" w:fill="auto"/>
            <w:tcMar>
              <w:top w:w="100" w:type="dxa"/>
              <w:left w:w="100" w:type="dxa"/>
              <w:bottom w:w="100" w:type="dxa"/>
              <w:right w:w="100" w:type="dxa"/>
            </w:tcMar>
          </w:tcPr>
          <w:p w14:paraId="5047646A" w14:textId="77777777" w:rsidR="00806BD6" w:rsidRDefault="00146C99">
            <w:pPr>
              <w:widowControl w:val="0"/>
              <w:spacing w:before="212" w:line="240" w:lineRule="auto"/>
              <w:rPr>
                <w:sz w:val="16"/>
                <w:szCs w:val="16"/>
              </w:rPr>
            </w:pPr>
            <w:r>
              <w:rPr>
                <w:b/>
                <w:sz w:val="18"/>
                <w:szCs w:val="18"/>
              </w:rPr>
              <w:t>Follow-up Actions</w:t>
            </w:r>
          </w:p>
        </w:tc>
      </w:tr>
      <w:tr w:rsidR="00806BD6" w14:paraId="417FCC2A" w14:textId="77777777">
        <w:trPr>
          <w:trHeight w:val="2145"/>
        </w:trPr>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1B413C" w14:textId="77777777" w:rsidR="00806BD6" w:rsidRDefault="00146C99">
            <w:pPr>
              <w:widowControl w:val="0"/>
              <w:rPr>
                <w:sz w:val="18"/>
                <w:szCs w:val="18"/>
              </w:rPr>
            </w:pPr>
            <w:r>
              <w:rPr>
                <w:sz w:val="18"/>
                <w:szCs w:val="18"/>
              </w:rPr>
              <w:t>Combustion chamber explodes</w:t>
            </w:r>
          </w:p>
        </w:tc>
        <w:tc>
          <w:tcPr>
            <w:tcW w:w="7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A285A6" w14:textId="77777777" w:rsidR="00806BD6" w:rsidRDefault="00146C99">
            <w:pPr>
              <w:widowControl w:val="0"/>
              <w:rPr>
                <w:sz w:val="18"/>
                <w:szCs w:val="18"/>
              </w:rPr>
            </w:pPr>
            <w:r>
              <w:rPr>
                <w:sz w:val="18"/>
                <w:szCs w:val="18"/>
              </w:rPr>
              <w:t>Major</w:t>
            </w:r>
          </w:p>
        </w:tc>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EDE589" w14:textId="77777777" w:rsidR="00806BD6" w:rsidRDefault="00146C99">
            <w:pPr>
              <w:widowControl w:val="0"/>
              <w:rPr>
                <w:sz w:val="18"/>
                <w:szCs w:val="18"/>
              </w:rPr>
            </w:pPr>
            <w:r>
              <w:rPr>
                <w:sz w:val="18"/>
                <w:szCs w:val="18"/>
              </w:rPr>
              <w:t>Combustion chamber pressure exceeds twice the standard operating conditions. Could cause injury due to shrapnel of exploding combustion chamber</w:t>
            </w:r>
          </w:p>
        </w:tc>
        <w:tc>
          <w:tcPr>
            <w:tcW w:w="30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8B5D09" w14:textId="77777777" w:rsidR="00806BD6" w:rsidRDefault="00146C99">
            <w:pPr>
              <w:widowControl w:val="0"/>
              <w:numPr>
                <w:ilvl w:val="0"/>
                <w:numId w:val="22"/>
              </w:numPr>
              <w:rPr>
                <w:sz w:val="18"/>
                <w:szCs w:val="18"/>
              </w:rPr>
            </w:pPr>
            <w:r>
              <w:rPr>
                <w:sz w:val="18"/>
                <w:szCs w:val="18"/>
              </w:rPr>
              <w:t xml:space="preserve">Nozzle closure is designed to separate from the combustion chamber before the </w:t>
            </w:r>
            <w:r>
              <w:rPr>
                <w:sz w:val="18"/>
                <w:szCs w:val="18"/>
              </w:rPr>
              <w:t>chamber itself fails.</w:t>
            </w:r>
          </w:p>
          <w:p w14:paraId="1A7CF8D1" w14:textId="77777777" w:rsidR="00806BD6" w:rsidRDefault="00146C99">
            <w:pPr>
              <w:widowControl w:val="0"/>
              <w:numPr>
                <w:ilvl w:val="0"/>
                <w:numId w:val="22"/>
              </w:numPr>
              <w:rPr>
                <w:sz w:val="18"/>
                <w:szCs w:val="18"/>
              </w:rPr>
            </w:pPr>
            <w:r>
              <w:rPr>
                <w:sz w:val="18"/>
                <w:szCs w:val="18"/>
              </w:rPr>
              <w:t>Combustion chamber is placed in a steel test cell that is sunk into the ground which will contain the majority of shrapnel in case of an explosion.</w:t>
            </w:r>
          </w:p>
        </w:tc>
        <w:tc>
          <w:tcPr>
            <w:tcW w:w="33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76220FF" w14:textId="77777777" w:rsidR="00806BD6" w:rsidRDefault="00146C99">
            <w:pPr>
              <w:widowControl w:val="0"/>
              <w:numPr>
                <w:ilvl w:val="0"/>
                <w:numId w:val="22"/>
              </w:numPr>
              <w:rPr>
                <w:sz w:val="18"/>
                <w:szCs w:val="18"/>
              </w:rPr>
            </w:pPr>
            <w:r>
              <w:rPr>
                <w:sz w:val="18"/>
                <w:szCs w:val="18"/>
              </w:rPr>
              <w:t>Press emergency shutoff on the test controller</w:t>
            </w:r>
          </w:p>
          <w:p w14:paraId="1A98C3E3" w14:textId="77777777" w:rsidR="00806BD6" w:rsidRDefault="00146C99">
            <w:pPr>
              <w:widowControl w:val="0"/>
              <w:numPr>
                <w:ilvl w:val="0"/>
                <w:numId w:val="22"/>
              </w:numPr>
              <w:rPr>
                <w:sz w:val="18"/>
                <w:szCs w:val="18"/>
              </w:rPr>
            </w:pPr>
            <w:r>
              <w:rPr>
                <w:sz w:val="18"/>
                <w:szCs w:val="18"/>
              </w:rPr>
              <w:t>Make sure everybody is uninjured in the</w:t>
            </w:r>
            <w:r>
              <w:rPr>
                <w:sz w:val="18"/>
                <w:szCs w:val="18"/>
              </w:rPr>
              <w:t xml:space="preserve"> test bunker - emergency services should be called on 999 immediately for any serious injuries</w:t>
            </w:r>
          </w:p>
          <w:p w14:paraId="719F887E" w14:textId="77777777" w:rsidR="00806BD6" w:rsidRDefault="00146C99">
            <w:pPr>
              <w:widowControl w:val="0"/>
              <w:numPr>
                <w:ilvl w:val="0"/>
                <w:numId w:val="22"/>
              </w:numPr>
              <w:rPr>
                <w:sz w:val="18"/>
                <w:szCs w:val="18"/>
              </w:rPr>
            </w:pPr>
            <w:r>
              <w:rPr>
                <w:sz w:val="18"/>
                <w:szCs w:val="18"/>
              </w:rPr>
              <w:t>Check the live video for any fire in the visible surrounding area - if video feed does not work then proceed outside cautiously to gain a visual of the testing a</w:t>
            </w:r>
            <w:r>
              <w:rPr>
                <w:sz w:val="18"/>
                <w:szCs w:val="18"/>
              </w:rPr>
              <w:t>rea</w:t>
            </w:r>
          </w:p>
          <w:p w14:paraId="10445059" w14:textId="77777777" w:rsidR="00806BD6" w:rsidRDefault="00146C99">
            <w:pPr>
              <w:widowControl w:val="0"/>
              <w:numPr>
                <w:ilvl w:val="0"/>
                <w:numId w:val="22"/>
              </w:numPr>
              <w:rPr>
                <w:sz w:val="18"/>
                <w:szCs w:val="18"/>
              </w:rPr>
            </w:pPr>
            <w:r>
              <w:rPr>
                <w:sz w:val="18"/>
                <w:szCs w:val="18"/>
              </w:rPr>
              <w:t>If video shows it is safe to do so, CTO and NOS will exit the bunker with a fire extinguisher and evaluate the situation outside - put out fires if necessary</w:t>
            </w:r>
          </w:p>
          <w:p w14:paraId="27CB2280" w14:textId="77777777" w:rsidR="00806BD6" w:rsidRDefault="00146C99">
            <w:pPr>
              <w:widowControl w:val="0"/>
              <w:numPr>
                <w:ilvl w:val="0"/>
                <w:numId w:val="22"/>
              </w:numPr>
              <w:rPr>
                <w:sz w:val="18"/>
                <w:szCs w:val="18"/>
              </w:rPr>
            </w:pPr>
            <w:r>
              <w:rPr>
                <w:sz w:val="18"/>
                <w:szCs w:val="18"/>
              </w:rPr>
              <w:t xml:space="preserve">If safe to do so, CTO and NOS walk over to the testing area and turn off the manual tank </w:t>
            </w:r>
            <w:r>
              <w:rPr>
                <w:sz w:val="18"/>
                <w:szCs w:val="18"/>
              </w:rPr>
              <w:lastRenderedPageBreak/>
              <w:t>valve</w:t>
            </w:r>
            <w:r>
              <w:rPr>
                <w:sz w:val="18"/>
                <w:szCs w:val="18"/>
              </w:rPr>
              <w:t xml:space="preserve"> (while wearing face shield and thermally insulating gloves)</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6F75CDF" w14:textId="77777777" w:rsidR="00806BD6" w:rsidRDefault="00146C99">
            <w:pPr>
              <w:widowControl w:val="0"/>
              <w:rPr>
                <w:sz w:val="18"/>
                <w:szCs w:val="18"/>
              </w:rPr>
            </w:pPr>
            <w:r>
              <w:rPr>
                <w:sz w:val="18"/>
                <w:szCs w:val="18"/>
              </w:rPr>
              <w:lastRenderedPageBreak/>
              <w:t>CTO</w:t>
            </w:r>
          </w:p>
        </w:tc>
        <w:tc>
          <w:tcPr>
            <w:tcW w:w="16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B29EB8" w14:textId="77777777" w:rsidR="00806BD6" w:rsidRDefault="00146C99">
            <w:pPr>
              <w:widowControl w:val="0"/>
              <w:rPr>
                <w:sz w:val="18"/>
                <w:szCs w:val="18"/>
              </w:rPr>
            </w:pPr>
            <w:r>
              <w:rPr>
                <w:sz w:val="18"/>
                <w:szCs w:val="18"/>
              </w:rPr>
              <w:t>Report incident; investigate the root cause and review control measures if any serious injuries or near misses occurred</w:t>
            </w:r>
          </w:p>
        </w:tc>
      </w:tr>
    </w:tbl>
    <w:p w14:paraId="7D479D0C" w14:textId="77777777" w:rsidR="00806BD6" w:rsidRDefault="00806BD6">
      <w:pPr>
        <w:rPr>
          <w:sz w:val="20"/>
          <w:szCs w:val="20"/>
        </w:rPr>
      </w:pPr>
    </w:p>
    <w:sectPr w:rsidR="00806BD6">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493"/>
    <w:multiLevelType w:val="multilevel"/>
    <w:tmpl w:val="298A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D14E1"/>
    <w:multiLevelType w:val="multilevel"/>
    <w:tmpl w:val="76EA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9B39F1"/>
    <w:multiLevelType w:val="multilevel"/>
    <w:tmpl w:val="44A60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593CD7"/>
    <w:multiLevelType w:val="multilevel"/>
    <w:tmpl w:val="91CCE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52111"/>
    <w:multiLevelType w:val="multilevel"/>
    <w:tmpl w:val="A20A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F3F1E"/>
    <w:multiLevelType w:val="multilevel"/>
    <w:tmpl w:val="4126C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D73EAB"/>
    <w:multiLevelType w:val="multilevel"/>
    <w:tmpl w:val="E4F0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00A66"/>
    <w:multiLevelType w:val="multilevel"/>
    <w:tmpl w:val="5CF22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E51A3"/>
    <w:multiLevelType w:val="multilevel"/>
    <w:tmpl w:val="22463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F170DD"/>
    <w:multiLevelType w:val="multilevel"/>
    <w:tmpl w:val="27067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490D13"/>
    <w:multiLevelType w:val="multilevel"/>
    <w:tmpl w:val="63F89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9D3C79"/>
    <w:multiLevelType w:val="multilevel"/>
    <w:tmpl w:val="56FA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595B75"/>
    <w:multiLevelType w:val="multilevel"/>
    <w:tmpl w:val="BBB6D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D62569"/>
    <w:multiLevelType w:val="multilevel"/>
    <w:tmpl w:val="EC30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B112D2"/>
    <w:multiLevelType w:val="multilevel"/>
    <w:tmpl w:val="5A86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693A71"/>
    <w:multiLevelType w:val="multilevel"/>
    <w:tmpl w:val="6FD22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81425A"/>
    <w:multiLevelType w:val="multilevel"/>
    <w:tmpl w:val="8668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2F10ED"/>
    <w:multiLevelType w:val="multilevel"/>
    <w:tmpl w:val="0F36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FF5793"/>
    <w:multiLevelType w:val="multilevel"/>
    <w:tmpl w:val="C3ECE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9042C4"/>
    <w:multiLevelType w:val="multilevel"/>
    <w:tmpl w:val="3252C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FE0684"/>
    <w:multiLevelType w:val="multilevel"/>
    <w:tmpl w:val="46B64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747443"/>
    <w:multiLevelType w:val="multilevel"/>
    <w:tmpl w:val="021A0528"/>
    <w:lvl w:ilvl="0">
      <w:start w:val="1"/>
      <w:numFmt w:val="decimal"/>
      <w:lvlText w:val="%1."/>
      <w:lvlJc w:val="left"/>
      <w:pPr>
        <w:ind w:left="820" w:hanging="360"/>
      </w:pPr>
      <w:rPr>
        <w:rFonts w:ascii="Times New Roman" w:eastAsia="Times New Roman" w:hAnsi="Times New Roman" w:cs="Times New Roman"/>
        <w:sz w:val="24"/>
        <w:szCs w:val="24"/>
      </w:rPr>
    </w:lvl>
    <w:lvl w:ilvl="1">
      <w:numFmt w:val="bullet"/>
      <w:lvlText w:val="o"/>
      <w:lvlJc w:val="left"/>
      <w:pPr>
        <w:ind w:left="1540" w:hanging="360"/>
      </w:pPr>
      <w:rPr>
        <w:rFonts w:ascii="Courier New" w:eastAsia="Courier New" w:hAnsi="Courier New" w:cs="Courier New"/>
        <w:sz w:val="20"/>
        <w:szCs w:val="20"/>
      </w:rPr>
    </w:lvl>
    <w:lvl w:ilvl="2">
      <w:numFmt w:val="bullet"/>
      <w:lvlText w:val="•"/>
      <w:lvlJc w:val="left"/>
      <w:pPr>
        <w:ind w:left="2833" w:hanging="360"/>
      </w:pPr>
    </w:lvl>
    <w:lvl w:ilvl="3">
      <w:numFmt w:val="bullet"/>
      <w:lvlText w:val="•"/>
      <w:lvlJc w:val="left"/>
      <w:pPr>
        <w:ind w:left="4126" w:hanging="360"/>
      </w:pPr>
    </w:lvl>
    <w:lvl w:ilvl="4">
      <w:numFmt w:val="bullet"/>
      <w:lvlText w:val="•"/>
      <w:lvlJc w:val="left"/>
      <w:pPr>
        <w:ind w:left="5420" w:hanging="360"/>
      </w:pPr>
    </w:lvl>
    <w:lvl w:ilvl="5">
      <w:numFmt w:val="bullet"/>
      <w:lvlText w:val="•"/>
      <w:lvlJc w:val="left"/>
      <w:pPr>
        <w:ind w:left="6713" w:hanging="360"/>
      </w:pPr>
    </w:lvl>
    <w:lvl w:ilvl="6">
      <w:numFmt w:val="bullet"/>
      <w:lvlText w:val="•"/>
      <w:lvlJc w:val="left"/>
      <w:pPr>
        <w:ind w:left="8006" w:hanging="360"/>
      </w:pPr>
    </w:lvl>
    <w:lvl w:ilvl="7">
      <w:numFmt w:val="bullet"/>
      <w:lvlText w:val="•"/>
      <w:lvlJc w:val="left"/>
      <w:pPr>
        <w:ind w:left="9300" w:hanging="360"/>
      </w:pPr>
    </w:lvl>
    <w:lvl w:ilvl="8">
      <w:numFmt w:val="bullet"/>
      <w:lvlText w:val="•"/>
      <w:lvlJc w:val="left"/>
      <w:pPr>
        <w:ind w:left="10593" w:hanging="360"/>
      </w:pPr>
    </w:lvl>
  </w:abstractNum>
  <w:num w:numId="1">
    <w:abstractNumId w:val="16"/>
  </w:num>
  <w:num w:numId="2">
    <w:abstractNumId w:val="18"/>
  </w:num>
  <w:num w:numId="3">
    <w:abstractNumId w:val="7"/>
  </w:num>
  <w:num w:numId="4">
    <w:abstractNumId w:val="13"/>
  </w:num>
  <w:num w:numId="5">
    <w:abstractNumId w:val="5"/>
  </w:num>
  <w:num w:numId="6">
    <w:abstractNumId w:val="20"/>
  </w:num>
  <w:num w:numId="7">
    <w:abstractNumId w:val="15"/>
  </w:num>
  <w:num w:numId="8">
    <w:abstractNumId w:val="17"/>
  </w:num>
  <w:num w:numId="9">
    <w:abstractNumId w:val="19"/>
  </w:num>
  <w:num w:numId="10">
    <w:abstractNumId w:val="10"/>
  </w:num>
  <w:num w:numId="11">
    <w:abstractNumId w:val="21"/>
  </w:num>
  <w:num w:numId="12">
    <w:abstractNumId w:val="6"/>
  </w:num>
  <w:num w:numId="13">
    <w:abstractNumId w:val="9"/>
  </w:num>
  <w:num w:numId="14">
    <w:abstractNumId w:val="11"/>
  </w:num>
  <w:num w:numId="15">
    <w:abstractNumId w:val="1"/>
  </w:num>
  <w:num w:numId="16">
    <w:abstractNumId w:val="12"/>
  </w:num>
  <w:num w:numId="17">
    <w:abstractNumId w:val="2"/>
  </w:num>
  <w:num w:numId="18">
    <w:abstractNumId w:val="0"/>
  </w:num>
  <w:num w:numId="19">
    <w:abstractNumId w:val="4"/>
  </w:num>
  <w:num w:numId="20">
    <w:abstractNumId w:val="3"/>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D6"/>
    <w:rsid w:val="00146C99"/>
    <w:rsid w:val="00806BD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E621"/>
  <w15:docId w15:val="{66CF720B-C1AD-4A7D-9108-274C99AA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Tzonev</dc:creator>
  <cp:lastModifiedBy>Philip Tzonev</cp:lastModifiedBy>
  <cp:revision>2</cp:revision>
  <dcterms:created xsi:type="dcterms:W3CDTF">2022-03-01T17:55:00Z</dcterms:created>
  <dcterms:modified xsi:type="dcterms:W3CDTF">2022-03-01T17:55:00Z</dcterms:modified>
</cp:coreProperties>
</file>